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0943D" w14:textId="6A8D0E0D" w:rsidR="00E37406" w:rsidRPr="005E69A8" w:rsidRDefault="00E37406" w:rsidP="00E37406">
      <w:pPr>
        <w:tabs>
          <w:tab w:val="left" w:pos="567"/>
          <w:tab w:val="left" w:pos="2268"/>
          <w:tab w:val="left" w:pos="2835"/>
        </w:tabs>
        <w:jc w:val="center"/>
        <w:rPr>
          <w:rFonts w:cs="Times New Roman"/>
          <w:b/>
          <w:bCs/>
          <w:szCs w:val="28"/>
        </w:rPr>
      </w:pPr>
      <w:r w:rsidRPr="005E69A8">
        <w:rPr>
          <w:rFonts w:cs="Times New Roman"/>
          <w:b/>
          <w:bCs/>
          <w:szCs w:val="28"/>
        </w:rPr>
        <w:t xml:space="preserve">PHỤ LỤC </w:t>
      </w:r>
      <w:r w:rsidR="00004E38">
        <w:rPr>
          <w:rFonts w:cs="Times New Roman"/>
          <w:b/>
          <w:bCs/>
          <w:szCs w:val="28"/>
        </w:rPr>
        <w:t>V</w:t>
      </w:r>
    </w:p>
    <w:p w14:paraId="155390C6" w14:textId="5610A244" w:rsidR="00E37406" w:rsidRPr="005E69A8" w:rsidRDefault="00E37406" w:rsidP="00E37406">
      <w:pPr>
        <w:tabs>
          <w:tab w:val="left" w:pos="567"/>
          <w:tab w:val="left" w:pos="2268"/>
          <w:tab w:val="left" w:pos="2835"/>
        </w:tabs>
        <w:jc w:val="center"/>
        <w:rPr>
          <w:rFonts w:cs="Times New Roman"/>
          <w:b/>
          <w:bCs/>
          <w:szCs w:val="28"/>
        </w:rPr>
      </w:pPr>
      <w:r w:rsidRPr="005E69A8">
        <w:rPr>
          <w:rFonts w:cs="Times New Roman"/>
          <w:b/>
          <w:bCs/>
          <w:szCs w:val="28"/>
        </w:rPr>
        <w:t>Hướng dẫn các hoạt động chuyên môn</w:t>
      </w:r>
      <w:r w:rsidR="008973D3" w:rsidRPr="005E69A8">
        <w:rPr>
          <w:rFonts w:cs="Times New Roman"/>
          <w:b/>
          <w:bCs/>
          <w:szCs w:val="28"/>
        </w:rPr>
        <w:t xml:space="preserve"> </w:t>
      </w:r>
      <w:r w:rsidRPr="005E69A8">
        <w:rPr>
          <w:rFonts w:cs="Times New Roman"/>
          <w:b/>
          <w:bCs/>
          <w:szCs w:val="28"/>
        </w:rPr>
        <w:t>đối với trường Trung học</w:t>
      </w:r>
    </w:p>
    <w:p w14:paraId="1B789BA5" w14:textId="1E9B58FC" w:rsidR="002144DB" w:rsidRPr="005E69A8" w:rsidRDefault="002144DB" w:rsidP="002144DB">
      <w:pPr>
        <w:tabs>
          <w:tab w:val="left" w:pos="2268"/>
          <w:tab w:val="left" w:pos="2835"/>
        </w:tabs>
        <w:spacing w:before="0"/>
        <w:jc w:val="center"/>
        <w:rPr>
          <w:rFonts w:cs="Times New Roman"/>
          <w:i/>
          <w:iCs/>
          <w:szCs w:val="28"/>
        </w:rPr>
      </w:pPr>
      <w:r w:rsidRPr="005E69A8">
        <w:rPr>
          <w:rFonts w:cs="Times New Roman"/>
          <w:i/>
          <w:iCs/>
          <w:szCs w:val="28"/>
        </w:rPr>
        <w:t>(kèm theo Công văn số</w:t>
      </w:r>
      <w:r w:rsidR="00852800" w:rsidRPr="005E69A8">
        <w:rPr>
          <w:rFonts w:cs="Times New Roman"/>
          <w:i/>
          <w:iCs/>
          <w:szCs w:val="28"/>
        </w:rPr>
        <w:t xml:space="preserve">   </w:t>
      </w:r>
      <w:r w:rsidR="005F650F" w:rsidRPr="005E69A8">
        <w:rPr>
          <w:rFonts w:cs="Times New Roman"/>
          <w:i/>
          <w:iCs/>
          <w:szCs w:val="28"/>
        </w:rPr>
        <w:t xml:space="preserve">  </w:t>
      </w:r>
      <w:r w:rsidR="00852800" w:rsidRPr="005E69A8">
        <w:rPr>
          <w:rFonts w:cs="Times New Roman"/>
          <w:i/>
          <w:iCs/>
          <w:szCs w:val="28"/>
        </w:rPr>
        <w:t xml:space="preserve">   </w:t>
      </w:r>
      <w:r w:rsidRPr="005E69A8">
        <w:rPr>
          <w:rFonts w:cs="Times New Roman"/>
          <w:i/>
          <w:iCs/>
          <w:szCs w:val="28"/>
        </w:rPr>
        <w:t>/SG</w:t>
      </w:r>
      <w:r w:rsidR="00F2246C" w:rsidRPr="005E69A8">
        <w:rPr>
          <w:rFonts w:cs="Times New Roman"/>
          <w:i/>
          <w:iCs/>
          <w:szCs w:val="28"/>
        </w:rPr>
        <w:t>D</w:t>
      </w:r>
      <w:r w:rsidRPr="005E69A8">
        <w:rPr>
          <w:rFonts w:cs="Times New Roman"/>
          <w:i/>
          <w:iCs/>
          <w:szCs w:val="28"/>
        </w:rPr>
        <w:t>ĐT-VP ngày</w:t>
      </w:r>
      <w:r w:rsidR="00852800" w:rsidRPr="005E69A8">
        <w:rPr>
          <w:rFonts w:cs="Times New Roman"/>
          <w:i/>
          <w:iCs/>
          <w:szCs w:val="28"/>
        </w:rPr>
        <w:t xml:space="preserve">   </w:t>
      </w:r>
      <w:r w:rsidR="00271D5B">
        <w:rPr>
          <w:rFonts w:cs="Times New Roman"/>
          <w:i/>
          <w:iCs/>
          <w:szCs w:val="28"/>
        </w:rPr>
        <w:t xml:space="preserve">  </w:t>
      </w:r>
      <w:r w:rsidRPr="005E69A8">
        <w:rPr>
          <w:rFonts w:cs="Times New Roman"/>
          <w:i/>
          <w:iCs/>
          <w:szCs w:val="28"/>
        </w:rPr>
        <w:t>tháng</w:t>
      </w:r>
      <w:r w:rsidR="00852800" w:rsidRPr="005E69A8">
        <w:rPr>
          <w:rFonts w:cs="Times New Roman"/>
          <w:i/>
          <w:iCs/>
          <w:szCs w:val="28"/>
        </w:rPr>
        <w:t xml:space="preserve">   </w:t>
      </w:r>
      <w:r w:rsidRPr="005E69A8">
        <w:rPr>
          <w:rFonts w:cs="Times New Roman"/>
          <w:i/>
          <w:iCs/>
          <w:szCs w:val="28"/>
        </w:rPr>
        <w:t xml:space="preserve">năm 2023 </w:t>
      </w:r>
    </w:p>
    <w:p w14:paraId="7CF7C0D6" w14:textId="77777777" w:rsidR="002144DB" w:rsidRPr="005E69A8" w:rsidRDefault="002144DB" w:rsidP="002144DB">
      <w:pPr>
        <w:tabs>
          <w:tab w:val="left" w:pos="2268"/>
          <w:tab w:val="left" w:pos="2835"/>
        </w:tabs>
        <w:spacing w:before="0"/>
        <w:jc w:val="center"/>
        <w:rPr>
          <w:rFonts w:cs="Times New Roman"/>
          <w:i/>
          <w:iCs/>
          <w:szCs w:val="28"/>
        </w:rPr>
      </w:pPr>
      <w:r w:rsidRPr="005E69A8">
        <w:rPr>
          <w:rFonts w:cs="Times New Roman"/>
          <w:i/>
          <w:iCs/>
          <w:szCs w:val="28"/>
        </w:rPr>
        <w:t xml:space="preserve">của Sở Giáo dục và Đào tạo Thành phố) </w:t>
      </w:r>
    </w:p>
    <w:p w14:paraId="3099B20E" w14:textId="2A332D0D" w:rsidR="00E37406" w:rsidRPr="005E69A8" w:rsidRDefault="00E37406" w:rsidP="00BE262E">
      <w:pPr>
        <w:jc w:val="center"/>
        <w:rPr>
          <w:rFonts w:cs="Times New Roman"/>
          <w:b/>
          <w:bCs/>
          <w:szCs w:val="28"/>
        </w:rPr>
      </w:pPr>
      <w:r w:rsidRPr="005E69A8">
        <w:rPr>
          <w:rFonts w:cs="Times New Roman"/>
          <w:noProof/>
          <w:szCs w:val="28"/>
        </w:rPr>
        <mc:AlternateContent>
          <mc:Choice Requires="wps">
            <w:drawing>
              <wp:anchor distT="0" distB="0" distL="114300" distR="114300" simplePos="0" relativeHeight="251662336" behindDoc="0" locked="0" layoutInCell="1" allowOverlap="1" wp14:anchorId="126588BA" wp14:editId="0A2CDF9D">
                <wp:simplePos x="0" y="0"/>
                <wp:positionH relativeFrom="column">
                  <wp:posOffset>2625090</wp:posOffset>
                </wp:positionH>
                <wp:positionV relativeFrom="paragraph">
                  <wp:posOffset>86995</wp:posOffset>
                </wp:positionV>
                <wp:extent cx="64720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720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6009B2A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6.7pt,6.85pt" to="257.6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" strokecolor="black [3200]" strokeweight=".5pt">
                <v:stroke joinstyle="miter"/>
              </v:line>
            </w:pict>
          </mc:Fallback>
        </mc:AlternateContent>
      </w:r>
    </w:p>
    <w:p w14:paraId="4D62376B" w14:textId="77777777"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b/>
          <w:szCs w:val="28"/>
        </w:rPr>
      </w:pPr>
      <w:r w:rsidRPr="005E69A8">
        <w:rPr>
          <w:rFonts w:eastAsia="Times" w:cs="Times New Roman"/>
          <w:b/>
          <w:szCs w:val="28"/>
        </w:rPr>
        <w:t xml:space="preserve">1. Nguyên tắc </w:t>
      </w:r>
    </w:p>
    <w:p w14:paraId="4BF4D851" w14:textId="0678D9D1"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Trường trung học cơ sở (THCS), trung học phổ thông (THPT) chất lượng cao “Trường tiên tiến, hội nhập Quốc tế” tại Thành phố Hồ Chí Minh là trường phổ thông được thành lập và tổ chức hoạt động theo qui định của Luật giáo dục và Điều lệ trường THCS, THPT và trường phổ thông có nhiều cấp học được ban hành kèm theo Thông tư 32/2020/TT-BGDĐT (gọi tắc là trường). Do vậy, các trường THCS, THPT chất lượng cao “Trường tiên tiến, hội nhập Quốc tế” tại Thành phố Hồ Chí Minh có trách nhiệm thực hiện đầy đủ các nhiệm vụ chuyên môn theo qui định của Bộ </w:t>
      </w:r>
      <w:r w:rsidR="00F2246C" w:rsidRPr="005E69A8">
        <w:rPr>
          <w:rFonts w:eastAsia="Times" w:cs="Times New Roman"/>
          <w:szCs w:val="28"/>
        </w:rPr>
        <w:t>Giáo dục và Đào tạo</w:t>
      </w:r>
      <w:r w:rsidRPr="005E69A8">
        <w:rPr>
          <w:rFonts w:eastAsia="Times" w:cs="Times New Roman"/>
          <w:szCs w:val="28"/>
        </w:rPr>
        <w:t xml:space="preserve"> và Sở </w:t>
      </w:r>
      <w:r w:rsidR="00F2246C" w:rsidRPr="005E69A8">
        <w:rPr>
          <w:rFonts w:eastAsia="Times" w:cs="Times New Roman"/>
          <w:szCs w:val="28"/>
        </w:rPr>
        <w:t>Giáo dục và Đào tạo</w:t>
      </w:r>
      <w:r w:rsidRPr="005E69A8">
        <w:rPr>
          <w:rFonts w:eastAsia="Times" w:cs="Times New Roman"/>
          <w:szCs w:val="28"/>
        </w:rPr>
        <w:t xml:space="preserve">, thực hiện các chương trình, kế hoạch, đề án được triển khai tại tất các các trường THCS, THPT trên địa bàn Thành phố. </w:t>
      </w:r>
    </w:p>
    <w:p w14:paraId="0B1B6A1B" w14:textId="25DA1805"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Ngoài các qui định chuyên môn kể trên, các trường cần chủ động xây dựng các giải pháp để tổ chức thực hiện các nhiệm vụ chuyên môn của nhà trường nhằm đạt đầy đủ các tiêu chí được quy định trong Quyết định số 07</w:t>
      </w:r>
      <w:r w:rsidR="00F2246C" w:rsidRPr="005E69A8">
        <w:rPr>
          <w:rFonts w:eastAsia="Times" w:cs="Times New Roman"/>
          <w:szCs w:val="28"/>
        </w:rPr>
        <w:t>/2022/QĐ-UBND</w:t>
      </w:r>
      <w:r w:rsidRPr="005E69A8">
        <w:rPr>
          <w:rFonts w:eastAsia="Times" w:cs="Times New Roman"/>
          <w:szCs w:val="28"/>
        </w:rPr>
        <w:t xml:space="preserve">. </w:t>
      </w:r>
    </w:p>
    <w:p w14:paraId="35C236A5" w14:textId="77777777"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b/>
          <w:szCs w:val="28"/>
        </w:rPr>
      </w:pPr>
      <w:r w:rsidRPr="005E69A8">
        <w:rPr>
          <w:rFonts w:eastAsia="Times" w:cs="Times New Roman"/>
          <w:b/>
          <w:szCs w:val="28"/>
        </w:rPr>
        <w:t>2. Hướng dẫn chuyên môn, giải pháp tổ chức thực hiện các tiêu chí</w:t>
      </w:r>
    </w:p>
    <w:p w14:paraId="6CF4F7B7" w14:textId="05A25063"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Các trường THCS, THPT và trường phổ thông có nhiều cấp học có cấp THPT xây dựng trường chất lượng cao “Trường tiên tiến, hội nhập quốc tế” là trường phổ thông trong hệ thống giáo dục quốc dân. Trường tổ chức hoạt động theo Luật giáo dục và Điều lệ trường THCS, THPT và trường phổ thông có nhiều cấp học được ban hành kèm theo Thông tư 32/2020/TT-BGDĐT. </w:t>
      </w:r>
    </w:p>
    <w:p w14:paraId="0CD00D50" w14:textId="696BF5DF"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Để triển khai thực hiện tốt nhiệm vụ chuyên môn, nhà trường có trách nhiệm xây dựng Kế hoạch giáo dục nhà trường theo hướng dẫn của Văn bản số 1652/SGDĐT-GDTrH ngày 10 tháng 4 năm 2003 về việc hướng dẫn triển khai thực hiện Chương trình Giáo dục phổ thông năm học 2023-2024 đồng thời tổ chức thực hiện có hiệu quả Quyết định số 07/2022/QĐ-UBND ngày 18 tháng 3 năm 2022 của Ủy ban nhân dân Thành phố Hồ Chí Minh ban hành Quy định về tiêu chí công nhận trường chất lượng cao “Trường tiên tiến, hội nhập quốc tế” tại Thành phố Hồ Chí Minh. Cụ thể như sau: </w:t>
      </w:r>
    </w:p>
    <w:p w14:paraId="249B63D8" w14:textId="77777777"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2.1. Tiêu chí hoạt động giáo dục </w:t>
      </w:r>
    </w:p>
    <w:p w14:paraId="78522EA1" w14:textId="739EBFA1"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a) Tổ chức dạy và học các môn Toán, Khoa học và tiếng Anh tích hợp </w:t>
      </w:r>
      <w:r w:rsidRPr="005E69A8">
        <w:rPr>
          <w:rFonts w:eastAsia="Times" w:cs="Times New Roman"/>
          <w:szCs w:val="28"/>
        </w:rPr>
        <w:lastRenderedPageBreak/>
        <w:t>chương trình Anh và Việt Nam</w:t>
      </w:r>
      <w:r w:rsidRPr="005E69A8">
        <w:rPr>
          <w:rStyle w:val="FootnoteReference"/>
          <w:rFonts w:eastAsia="Times" w:cs="Times New Roman"/>
          <w:szCs w:val="28"/>
        </w:rPr>
        <w:footnoteReference w:id="1"/>
      </w:r>
      <w:r w:rsidRPr="005E69A8">
        <w:rPr>
          <w:rFonts w:eastAsia="Times" w:cs="Times New Roman"/>
          <w:szCs w:val="28"/>
          <w:vertAlign w:val="superscript"/>
        </w:rPr>
        <w:t xml:space="preserve"> </w:t>
      </w:r>
      <w:r w:rsidRPr="005E69A8">
        <w:rPr>
          <w:rFonts w:eastAsia="Times" w:cs="Times New Roman"/>
          <w:szCs w:val="28"/>
        </w:rPr>
        <w:t>hoặc tổ chức dạy tăng cường tiếng Anh với các tài liệu Toán và Khoa học theo chuẩn quốc tế. Tổ chức dạy Tin học theo các chuẩn quốc tế; có các hoạt động ứng dụng công nghệ thông tin trong dạy - học, kiểm tra - đánh giá, ứng dụng e-Learning. Hằng năm, thực hiện được ít nhất 01 chuyên đề đổi mới hình thức tổ chức dạy học, đổi mới kiểm tra và được chia sẻ trong hoạt động chuyên môn cụm trường; 100% tiết học ứng dụng công nghệ thông tin và phương pháp giáo dục hiện đại</w:t>
      </w:r>
      <w:r w:rsidR="009802A4">
        <w:rPr>
          <w:rFonts w:eastAsia="Times" w:cs="Times New Roman"/>
          <w:szCs w:val="28"/>
        </w:rPr>
        <w:t>.</w:t>
      </w:r>
    </w:p>
    <w:p w14:paraId="03D3DC8A" w14:textId="3F4F8718"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Nhà trường có giải pháp tổ chức, giao các tổ, nhóm chuyên môn Toán, Vật lý, Hóa học và tiếng Anh phối hợp trong việc thực hiện việc dạy học các môn Toán, Khoa học và tiếng Anh tích hợp chương trình Anh và Việt Nam hoặc tổ chức dạy tăng cường tiếng Anh với các tài liệu Toán và Khoa học theo hình thức các chủ đề tích hợp trong năm học. </w:t>
      </w:r>
    </w:p>
    <w:p w14:paraId="76E7085F" w14:textId="0F61B0B8"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Xây dựng hạ tầng công nghệ thông tin (CNTT), xây dựng (hoặc hợp đồng cung cấp các dịch vụ CNTT) để phát triển, sử dụng phần mềm quản lý dạy học (LMS), phần mềm kiểm tra, đánh giá và từng bước xây dựng, sử dụng học liệu e Learning phục vụ dạy học; giáo viện sử dụng CNTT trong xây dựng Kế hoạch bài dạy nhằm đảm bảo 100% giờ học có ứng dụng CNTT và phương pháp dạy học hiện đại</w:t>
      </w:r>
      <w:r w:rsidRPr="005E69A8">
        <w:rPr>
          <w:rStyle w:val="FootnoteReference"/>
          <w:rFonts w:eastAsia="Times" w:cs="Times New Roman"/>
          <w:szCs w:val="28"/>
        </w:rPr>
        <w:footnoteReference w:id="2"/>
      </w:r>
      <w:r w:rsidRPr="005E69A8">
        <w:rPr>
          <w:rFonts w:eastAsia="Times" w:cs="Times New Roman"/>
          <w:szCs w:val="28"/>
        </w:rPr>
        <w:t>; tổ chức các chuyên đề về hoạt động dạy học gắn với thực tiễn cuộc sống; tổ chức các dự án học tập, các hoạt động trải nghiệm tích hợp kiến thức liên môn</w:t>
      </w:r>
      <w:r w:rsidR="005F650F" w:rsidRPr="005E69A8">
        <w:rPr>
          <w:rStyle w:val="FootnoteReference"/>
          <w:rFonts w:eastAsia="Times" w:cs="Times New Roman"/>
          <w:szCs w:val="28"/>
        </w:rPr>
        <w:footnoteReference w:id="3"/>
      </w:r>
      <w:r w:rsidRPr="005E69A8">
        <w:rPr>
          <w:rFonts w:eastAsia="Times" w:cs="Times New Roman"/>
          <w:szCs w:val="28"/>
        </w:rPr>
        <w:t>; xây dựng và tham gia tổ chức thực hiện các chủ đề dạy học STEM</w:t>
      </w:r>
      <w:r w:rsidR="005F650F" w:rsidRPr="005E69A8">
        <w:rPr>
          <w:rStyle w:val="FootnoteReference"/>
          <w:rFonts w:eastAsia="Times" w:cs="Times New Roman"/>
          <w:szCs w:val="28"/>
        </w:rPr>
        <w:footnoteReference w:id="4"/>
      </w:r>
      <w:r w:rsidRPr="005E69A8">
        <w:rPr>
          <w:rFonts w:eastAsia="Times" w:cs="Times New Roman"/>
          <w:szCs w:val="28"/>
        </w:rPr>
        <w:t xml:space="preserve">; xây dựng Kế hoạch giáo dục nhà trường để thực hiện các hoạt động học sinh nghiên cứu khoa học, CLB học thuật, … trong trường học hằng năm theo các văn bản hướng dẫn của Bộ và của Sở GD&amp;ĐT. </w:t>
      </w:r>
    </w:p>
    <w:p w14:paraId="1839295D" w14:textId="6EAE0BFB"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Tổ chức sinh hoạt chuyên môn, tham gia sinh hoạt chuyên môn Cụm trường và tổ chức ít nhất 01 chuyên đề ở Cụm chuyên môn (cấp THPT) hoặc chuyên đề cấp quận (THCS)</w:t>
      </w:r>
      <w:r w:rsidR="005F650F" w:rsidRPr="005E69A8">
        <w:rPr>
          <w:rStyle w:val="FootnoteReference"/>
          <w:rFonts w:eastAsia="Times" w:cs="Times New Roman"/>
          <w:szCs w:val="28"/>
        </w:rPr>
        <w:footnoteReference w:id="5"/>
      </w:r>
      <w:r w:rsidRPr="005E69A8">
        <w:rPr>
          <w:rFonts w:eastAsia="Times" w:cs="Times New Roman"/>
          <w:szCs w:val="28"/>
        </w:rPr>
        <w:t xml:space="preserve">. </w:t>
      </w:r>
    </w:p>
    <w:p w14:paraId="63F48A35" w14:textId="2C2A7AC7"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lastRenderedPageBreak/>
        <w:t>b) 100% học sinh được tham gia các hoạt động học tập trải nghiệm, ngoại khóa phù hợp. Hoạt động phát hiện bồi dưỡng học sinh giỏi, học sinh có năng khiếu được thực hiện hiệu quả; tổ chức phụ đạo cho học sinh gặp khó khăn trong học tập, rèn luyện. Có các biện pháp nhằm phát hiện kịp thời học sinh vi phạm các hành vi không được làm, được áp dụng các biện pháp giáo dục phù hợp và có chuyển biến tích cực</w:t>
      </w:r>
      <w:r w:rsidR="009802A4">
        <w:rPr>
          <w:rFonts w:eastAsia="Times" w:cs="Times New Roman"/>
          <w:szCs w:val="28"/>
        </w:rPr>
        <w:t>.</w:t>
      </w:r>
    </w:p>
    <w:p w14:paraId="0590C1A4" w14:textId="384DCE14"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Xây dựng Kế hoạch thực hiện hoạt động học tập trải nghiệm, tổ chức mở rộng không gian tổ chức dạy học ngoài lớp học, tại thư viện, ngoài nhà trường cho học sinh theo qui định trong Chương trình GDPT 2018 và cho tất cả học sinh thuộc các khối còn lại theo chương trình GDPT theo Quyết định số 16/2006/QĐ-BGDĐT</w:t>
      </w:r>
      <w:r w:rsidR="005F650F" w:rsidRPr="005E69A8">
        <w:rPr>
          <w:rStyle w:val="FootnoteReference"/>
          <w:rFonts w:eastAsia="Times" w:cs="Times New Roman"/>
          <w:szCs w:val="28"/>
        </w:rPr>
        <w:footnoteReference w:id="6"/>
      </w:r>
      <w:r w:rsidR="009802A4">
        <w:rPr>
          <w:rFonts w:eastAsia="Times" w:cs="Times New Roman"/>
          <w:szCs w:val="28"/>
        </w:rPr>
        <w:t>.</w:t>
      </w:r>
    </w:p>
    <w:p w14:paraId="1D61622F" w14:textId="61DE0413"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Xây dựng Kế hoạch phát hiện, bồi dưỡng học sinh giỏi, học sinh có năng khiếu được thực hiện hiệu quả; tổ chức phụ đạo cho học sinh gặp khó khăn trong học tập, rèn luyện. </w:t>
      </w:r>
    </w:p>
    <w:p w14:paraId="3C0061FE" w14:textId="1BE7AC09"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c) Tổ chức thường xuyên, có hiệu quả các hoạt động giáo dục toàn diện trong nhà trường. Tổ chức, duy trì hoạt động thường xuyên và có hiệu quả các phòng tư vấn học đường, phòng hỗ trợ học sinh hòa nhập (nếu có)</w:t>
      </w:r>
      <w:r w:rsidR="009802A4">
        <w:rPr>
          <w:rFonts w:eastAsia="Times" w:cs="Times New Roman"/>
          <w:szCs w:val="28"/>
        </w:rPr>
        <w:t>.</w:t>
      </w:r>
    </w:p>
    <w:p w14:paraId="1DB66AF1" w14:textId="6FADCB71"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Kế hoạch giáo dục nhà trường có những hoạt động giáo dục toàn diện nhằm đẩy mạnh hoạt động các CLB thể dục thể thao (bóng đá, bóng rổ, bóng bàn, võ</w:t>
      </w:r>
      <w:r w:rsidR="005F650F" w:rsidRPr="005E69A8">
        <w:rPr>
          <w:rFonts w:eastAsia="Times" w:cs="Times New Roman"/>
          <w:szCs w:val="28"/>
        </w:rPr>
        <w:t xml:space="preserve"> </w:t>
      </w:r>
      <w:r w:rsidRPr="005E69A8">
        <w:rPr>
          <w:rFonts w:eastAsia="Times" w:cs="Times New Roman"/>
          <w:szCs w:val="28"/>
        </w:rPr>
        <w:t xml:space="preserve">thuật, cầu lông, cờ tướng, cờ vua, phổ cập bơi, ...); Robotics; năng khiếu (thanh nhạc, aerobic, organ, mỹ thuật...) tại cơ sở giáo dục; phát huy tính tích cực, chủ động của học sinh khi tham gia các hình thức hoạt động giáo dục toàn diện. </w:t>
      </w:r>
    </w:p>
    <w:p w14:paraId="7A315C50" w14:textId="5767AAF6"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Chú ý phát triển hoạt động tư vấn tâm lý; bố trí cán bộ tư vấn có kinh nghiệm và có nhiều hình thức tiếp cận để giúp công tác tư vấn được hiệu quả; chú trọng công tác chủ nhiệm; làm tốt mói quan hệ gia đình, nhà trường và xã hội. </w:t>
      </w:r>
    </w:p>
    <w:p w14:paraId="52AF752D" w14:textId="0051E958"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Thực hiện tốt công tác giáo dục hòa nhập; phòng hỗ trợ học sinh hòa nhập (nếu có) phát huy hiệu quả giúp học sinh hòa nhập tham gia học tập, giáo dục tốt tại trường. </w:t>
      </w:r>
    </w:p>
    <w:p w14:paraId="302F32F7" w14:textId="21BF95C9"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d) Có ít nhất 3 câu lạc bộ thể dục thể thao, 01 câu lạc bộ nghệ thuật được tổ chức cho học sinh tham gia sinh hoạt hàng tuần</w:t>
      </w:r>
      <w:r w:rsidR="009802A4">
        <w:rPr>
          <w:rFonts w:eastAsia="Times" w:cs="Times New Roman"/>
          <w:szCs w:val="28"/>
        </w:rPr>
        <w:t>.</w:t>
      </w:r>
    </w:p>
    <w:p w14:paraId="1DC2EBA0" w14:textId="5B95B71A"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Câu lạc bộ thể dục thể thao, câu lạc bộ nghệ thuật được đầu tư, mua săm, bổ sung dụng cụ, thiết bị đáp ứng được nhu cầu hoạt động hằng tuần của học sinh; </w:t>
      </w:r>
      <w:r w:rsidRPr="005E69A8">
        <w:rPr>
          <w:rFonts w:eastAsia="Times" w:cs="Times New Roman"/>
          <w:szCs w:val="28"/>
        </w:rPr>
        <w:lastRenderedPageBreak/>
        <w:t xml:space="preserve">trong năm học có tổ chức các hoạt động, chuyên đề phù hợp với đặc điểm tâm lý, lứa tuổi học sinh và các điều kiện tổ chúc thực hiện của nhà trường. </w:t>
      </w:r>
    </w:p>
    <w:p w14:paraId="59D60DF3" w14:textId="694270C1"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đ) Cán bộ quản lý giáo dục, giáo viên hàng năm được bồi dưỡng, nâng cao trình độ chuyên môn, nghiệp vụ, học tập, giao lưu kinh nghiệm trong, ngoài nước. </w:t>
      </w:r>
    </w:p>
    <w:p w14:paraId="03E1FF4B" w14:textId="6BB72306"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Chú trọng công tác bồi dưỡng, hoạt động hỗ trợ đồng nghiệp cho cán bộ quản lý, giáo viên, nhân viên; hằng năm có tổ chức giao lưu kinh nghiệm trong, ngoài nước theo điều kiện tổ chức của nhà trường. </w:t>
      </w:r>
    </w:p>
    <w:p w14:paraId="100B95D3" w14:textId="77777777"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2.2. Tiêu chí kết quả giáo dục </w:t>
      </w:r>
    </w:p>
    <w:p w14:paraId="277F6E42" w14:textId="77777777"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Kết quả giáo dục trong năm học đảm bảo: </w:t>
      </w:r>
    </w:p>
    <w:p w14:paraId="5EB5B311" w14:textId="090BA29E"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a) Học lực: 100% học sinh xếp loại từ trung bình trở lên; trong đó: số học sinh xếp loại khá giỏi đạt từ 70% trở lên; trong đó, có ít nhất 20% học sinh xếp loại giỏi; đối với cấp trung học cơ sở: 100% học sinh vào học các trường trung học phổ thông và trung cấp nghề sau khi tốt nghiệp trung học cơ sở; đối với trung học phổ thông: 100% học sinh vào đại học, cao đẳng sau khi tốt nghiệp trung học phổ thông</w:t>
      </w:r>
      <w:r w:rsidR="009802A4">
        <w:rPr>
          <w:rFonts w:eastAsia="Times" w:cs="Times New Roman"/>
          <w:szCs w:val="28"/>
        </w:rPr>
        <w:t>.</w:t>
      </w:r>
    </w:p>
    <w:p w14:paraId="7BA36BE3" w14:textId="5A85018E"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Kế hoạch giáo dục tổ chuyên môn, kế hoạch giáo dục nhà trường được xây dựng với các giải pháp nâng cao chất lượng dạy học nhằm thực hiện tốt các yêu cầu của trường chất lượng cao “Trường tiên tiến, hội nhập quốc tế”</w:t>
      </w:r>
      <w:r w:rsidR="009802A4">
        <w:rPr>
          <w:rFonts w:eastAsia="Times" w:cs="Times New Roman"/>
          <w:szCs w:val="28"/>
        </w:rPr>
        <w:t>.</w:t>
      </w:r>
    </w:p>
    <w:p w14:paraId="476EE611" w14:textId="2B0A00D0"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Thực hiện công tác kiểm tra nội bộ nhà trường trong lĩnh vực chuyên môn và công tác kiểm tra, đánh giá; giáo viên chủ nhiệm, giáo viên bộ môn giữ mối liên hệ, phối hợp với cha mẹ học sinh trong việc phát hiện, giúp đỡ học sinh có khó khăn trong học tập và rèn luyện để giúp học sinh tiến bộ.</w:t>
      </w:r>
    </w:p>
    <w:p w14:paraId="465FA982" w14:textId="487C0279"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b) Hạnh kiểm: 100% học sinh xếp loại từ trung bình trở lên; trong đó, có ít nhất 90% học sinh xếp loại khá, tốt</w:t>
      </w:r>
      <w:r w:rsidR="009802A4">
        <w:rPr>
          <w:rFonts w:eastAsia="Times" w:cs="Times New Roman"/>
          <w:szCs w:val="28"/>
        </w:rPr>
        <w:t>.</w:t>
      </w:r>
    </w:p>
    <w:p w14:paraId="5EF6B651" w14:textId="69FC6612"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Chú trọng công tác giáo dục nhằm phát triển phẩm chất, năng lực người học; phát huy vai trò của giáo viên chủ nhiệm và các lực lượng tham gia giáo dục để giúp học sinh tiến bộ</w:t>
      </w:r>
      <w:r w:rsidR="009802A4">
        <w:rPr>
          <w:rFonts w:eastAsia="Times" w:cs="Times New Roman"/>
          <w:szCs w:val="28"/>
        </w:rPr>
        <w:t>.</w:t>
      </w:r>
    </w:p>
    <w:p w14:paraId="39BD3651" w14:textId="2CB27A80"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Thông qua các hoạt động trải nghiệm, ngoại khóa và các hoạt động xã hội, hoạt động cộng đồng để giáo dục học sinh. </w:t>
      </w:r>
    </w:p>
    <w:p w14:paraId="2AD982B1" w14:textId="71DACB73"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c) Có ít nhất 90% học sinh tham gia các hoạt động học tập gắn với thực tiễn cuộc sống (các hoạt động dạy học tích cực, dạy học theo dự án, nghiên cứu khoa học, vận dụng kiến thức liên môn giải quyết những vấn đề trong thực tiễn cuộc sống...)</w:t>
      </w:r>
      <w:r w:rsidR="009802A4">
        <w:rPr>
          <w:rFonts w:eastAsia="Times" w:cs="Times New Roman"/>
          <w:szCs w:val="28"/>
        </w:rPr>
        <w:t>.</w:t>
      </w:r>
    </w:p>
    <w:p w14:paraId="75777BCA" w14:textId="75A1820E"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lastRenderedPageBreak/>
        <w:t>Trong tổ chức các chuyên đề về hoạt động dạy học gắn với thực tiễn cuộc sống, các tiết học ngoài lớp học, ngoài nhà trường, tổ chức các dự án học tập, các hoạt động trải nghiệm sáng tạo tích hợp kiến thức, xây dựng và tham gia tổ chức thực hiện các chủ đề dạy học STEM</w:t>
      </w:r>
      <w:r w:rsidR="009802A4">
        <w:rPr>
          <w:rFonts w:eastAsia="Times" w:cs="Times New Roman"/>
          <w:szCs w:val="28"/>
        </w:rPr>
        <w:t>.</w:t>
      </w:r>
    </w:p>
    <w:p w14:paraId="03D4FD22" w14:textId="236D6C70"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Căn cứ hướng dẫn chuyên môn hằng năm của Sở GD&amp;ĐT, nhà trường xây dựng Kế hoạch giáo dục để thực hiện hướng dẫn học sinh nghiên cứu khoa học; tham gia các CLB học thuật do các tổ chuyên môn hướng dẫn, đảm bảo huy động tất cả học sinh tham gia các hoạt động và dự án học tập; tăng cường đổi mới kiểm tra, đánh giá nhất là đánh giá quá trình học tập để đạt được tỷ lệ học sinh chủ động tham gia. </w:t>
      </w:r>
    </w:p>
    <w:p w14:paraId="1CFFA180" w14:textId="0CED2B04"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d) Có ít nhất 90% học sinh tham gia các hoạt động xã hội, hoạt động cộng đồng (các đội công tác xã hội, các câu lạc bộ đội, nhóm về văn hóa nghệ thuật, khoa học kỹ thuật...)</w:t>
      </w:r>
      <w:r w:rsidR="009802A4">
        <w:rPr>
          <w:rFonts w:eastAsia="Times" w:cs="Times New Roman"/>
          <w:szCs w:val="28"/>
        </w:rPr>
        <w:t>.</w:t>
      </w:r>
    </w:p>
    <w:p w14:paraId="15E35C0E" w14:textId="217469F9"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Tổ chức thực hiện hoạt động xã hội, hoạt động cộng đồng theo hướng dẫn của Sở GD&amp;ĐT; chú trộng công tác an toàn trường học; tạo điều kiện để cha mẹ học sinh và các tổ chức xã hội cùng tham gia nhằm nâng cao chất lượng hoạt động. </w:t>
      </w:r>
    </w:p>
    <w:p w14:paraId="4E4F5389" w14:textId="3EE7E034"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đ) Có ít nhất 95% học sinh thường xuyên tham gia hoạt động thể dục thể thao ngoại khóa, trong đó 100% đạt tiêu chuẩn đánh giá, xếp loại thể lực theo độ tuổi</w:t>
      </w:r>
      <w:r w:rsidR="009802A4">
        <w:rPr>
          <w:rFonts w:eastAsia="Times" w:cs="Times New Roman"/>
          <w:szCs w:val="28"/>
        </w:rPr>
        <w:t>.</w:t>
      </w:r>
    </w:p>
    <w:p w14:paraId="54448F6D" w14:textId="7488AE60"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Hoạt động thể dục thể thao là hoạt động được tổ chức với nhiều hình thức, diễn ra thường xuyên phù hợp, cân đối với các hoạt động giáo dục khác; hoạt động thể thao ngoại khóa, giao lưu được chú trọng; thực hiện đánh giá, xếp loại thể lực theo độ tuổi</w:t>
      </w:r>
      <w:r w:rsidR="00F2246C" w:rsidRPr="005E69A8">
        <w:rPr>
          <w:rFonts w:eastAsia="Times" w:cs="Times New Roman"/>
          <w:szCs w:val="28"/>
        </w:rPr>
        <w:t>.</w:t>
      </w:r>
    </w:p>
    <w:p w14:paraId="653F2E93" w14:textId="77777777"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e) 100% học sinh được phổ cập bơi an toàn và phòng chống đuối nước;</w:t>
      </w:r>
    </w:p>
    <w:p w14:paraId="1AF2491A" w14:textId="30A4C241"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Qua tuyển sinh hằng năm, nhà trường thực hiện khảo sát, thống kê để có kế hoạch phổ cập bơi cho học sinh chưa biết bơi nhằm đảm bảo tất cả học sinh biết bơi nhằm phòng chống đuối nước; phối hợp với các cơ sở thể thao trong bộ môn bơi lội. </w:t>
      </w:r>
    </w:p>
    <w:p w14:paraId="5BEB28A2" w14:textId="77777777"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g) Tiêu chí về Tiếng Anh và Tin học: </w:t>
      </w:r>
    </w:p>
    <w:p w14:paraId="6782C5E9" w14:textId="4201ADA7"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Học sinh tốt nghiệp trung học cơ sở, có ít nhất 90% sử dụng được tiếng Anh (cả bốn kỹ năng nghe, nói, đọc, viết) đạt trình độ A2 trở lên, trong đó, ít nhất 30% đạt chứng chỉ ngoại ngữ quốc tế theo trình độ tương ứng; 100% có kiến thức và kỹ năng về công nghệ thông tin (tin học văn phòng, sử dụng web, kỹ năng giao </w:t>
      </w:r>
      <w:r w:rsidRPr="005E69A8">
        <w:rPr>
          <w:rFonts w:eastAsia="Times" w:cs="Times New Roman"/>
          <w:szCs w:val="28"/>
        </w:rPr>
        <w:lastRenderedPageBreak/>
        <w:t xml:space="preserve">tiếp trên mạng); trong đó, ít nhất 50% đạt chuẩn tin học quốc tế. </w:t>
      </w:r>
    </w:p>
    <w:p w14:paraId="1EEF6D8A" w14:textId="532596C4"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Học sinh tốt nghiệp trung học phổ thông, có ít nhất 90% sử dụng được tiếng Anh (cả bốn kỹ năng nghe, nói, đọc, viết) đạt trình độ B1 trở lên, trong đó, ít nhất 30% đạt chứng chỉ ngoại ngữ quốc tế theo trình độ tương ứng; 100% có kiến thức và kỹ năng về công nghệ thông tin (tin học văn phòng, sử dụng web, kỹ năng giao tiếp trên mạng), trong đó, ít nhất 50% đạt chuẩn tin học quốc tế. </w:t>
      </w:r>
    </w:p>
    <w:p w14:paraId="6249FE34" w14:textId="4B3D9B29"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Tổ chức các chương trình dạy học với giáo viên người nước ngoài; Chương trình tiếng Anh tăng cường và các hình thức sinh hoạt câu lạc bộ, tạo môi trường giao tiếp tiếng Anh để học sinh học tập và đạt các chỉ tiêu dạy học ngoại ngữ; tăng cường các hoạt động giao lưu với nước ngoài khi có điều kiện... </w:t>
      </w:r>
    </w:p>
    <w:p w14:paraId="4BA9FE23" w14:textId="6CF6BD8F"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Tổ chức dạy học Tin học và khuyến khích học sinh tham gia đánh giá kiểm tra đánh giá theo chuẩn quốc tế, thực hiện các Đề án Tin học theo chuẩn quốc tế (ICDL, IC3, MOS…)</w:t>
      </w:r>
      <w:r w:rsidR="005F650F" w:rsidRPr="005E69A8">
        <w:rPr>
          <w:rStyle w:val="FootnoteReference"/>
          <w:rFonts w:eastAsia="Times" w:cs="Times New Roman"/>
          <w:szCs w:val="28"/>
        </w:rPr>
        <w:footnoteReference w:id="7"/>
      </w:r>
      <w:r w:rsidRPr="005E69A8">
        <w:rPr>
          <w:rFonts w:eastAsia="Times" w:cs="Times New Roman"/>
          <w:szCs w:val="28"/>
        </w:rPr>
        <w:t xml:space="preserve"> </w:t>
      </w:r>
    </w:p>
    <w:p w14:paraId="5387581C" w14:textId="75331664"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Xây dựng các giải pháp thực hiện trong kế hoạch giáo dục nhà trường hằng năm để thực hiện các Đề án nâng cao năng lực ngoại ngữ; Đề án chuyển đổi số, … nhằm đạt các chỉ tiêu về tỷ lệ theo qui định của đề án. </w:t>
      </w:r>
    </w:p>
    <w:p w14:paraId="0A4C0A62" w14:textId="2C0EB819"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 xml:space="preserve">Trên đây là một số hướng dẫn chuyên môn, giải pháp tổ chức thực hiện các tiêu chí trường chất lượng cao “Trường tiên tiến hội nhập quốc tế”. Trên cơ sở hướng dẫn này và các hướng dẫn chuyên môn hằng năm, các trường THCS, THPT thực hiện trường chất lượng cao “Trường tiên tiến, hội nhập quốc tế” xây dựng Kế hoạch và tổ chức thực hiện. </w:t>
      </w:r>
    </w:p>
    <w:p w14:paraId="22370DC5" w14:textId="77777777" w:rsidR="00852800"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b/>
          <w:szCs w:val="28"/>
        </w:rPr>
      </w:pPr>
      <w:r w:rsidRPr="005E69A8">
        <w:rPr>
          <w:rFonts w:eastAsia="Times" w:cs="Times New Roman"/>
          <w:b/>
          <w:szCs w:val="28"/>
        </w:rPr>
        <w:t xml:space="preserve">3. Chế độ báo cáo </w:t>
      </w:r>
    </w:p>
    <w:p w14:paraId="2133D988" w14:textId="7AD43B82" w:rsidR="00BE262E" w:rsidRPr="005E69A8" w:rsidRDefault="00852800" w:rsidP="00F2246C">
      <w:pPr>
        <w:widowControl w:val="0"/>
        <w:pBdr>
          <w:top w:val="nil"/>
          <w:left w:val="nil"/>
          <w:bottom w:val="nil"/>
          <w:right w:val="nil"/>
          <w:between w:val="nil"/>
        </w:pBdr>
        <w:spacing w:before="0" w:after="120" w:line="288" w:lineRule="auto"/>
        <w:ind w:firstLine="720"/>
        <w:rPr>
          <w:rFonts w:eastAsia="Times" w:cs="Times New Roman"/>
          <w:szCs w:val="28"/>
        </w:rPr>
      </w:pPr>
      <w:r w:rsidRPr="005E69A8">
        <w:rPr>
          <w:rFonts w:eastAsia="Times" w:cs="Times New Roman"/>
          <w:szCs w:val="28"/>
        </w:rPr>
        <w:t>Các cơ sở giáo dục thực hiện các tiêu chí trường chất lượng cao “Trường tiên tiến, hội nhập quốc tế” theo Quyết định số 07 thực hiện báo cáo định kỳ kết</w:t>
      </w:r>
      <w:r w:rsidR="005F650F" w:rsidRPr="005E69A8">
        <w:rPr>
          <w:rFonts w:eastAsia="Times" w:cs="Times New Roman"/>
          <w:szCs w:val="28"/>
        </w:rPr>
        <w:t xml:space="preserve"> </w:t>
      </w:r>
      <w:r w:rsidRPr="005E69A8">
        <w:rPr>
          <w:rFonts w:eastAsia="Times" w:cs="Times New Roman"/>
          <w:szCs w:val="28"/>
        </w:rPr>
        <w:t>quả tổ chức thực hiện theo văn bản này về Sở GD&amp;ĐT (Phòng Giáo dục Trung học) vào cuối học kỳ I và cuối năm học trên trang quanly.hcm.edu.vn./.</w:t>
      </w:r>
    </w:p>
    <w:p w14:paraId="3CF783F4" w14:textId="77777777" w:rsidR="00852800" w:rsidRPr="005E69A8" w:rsidRDefault="00852800" w:rsidP="00F2246C">
      <w:pPr>
        <w:spacing w:before="0" w:after="120" w:line="288" w:lineRule="auto"/>
        <w:ind w:firstLine="720"/>
        <w:rPr>
          <w:rFonts w:cs="Times New Roman"/>
          <w:szCs w:val="28"/>
        </w:rPr>
      </w:pPr>
    </w:p>
    <w:sectPr w:rsidR="00852800" w:rsidRPr="005E69A8" w:rsidSect="005E69A8">
      <w:headerReference w:type="default" r:id="rId7"/>
      <w:pgSz w:w="11907" w:h="16840" w:code="9"/>
      <w:pgMar w:top="1134" w:right="1134"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AC957" w14:textId="77777777" w:rsidR="006B1192" w:rsidRDefault="006B1192" w:rsidP="00BE262E">
      <w:pPr>
        <w:spacing w:before="0"/>
      </w:pPr>
      <w:r>
        <w:separator/>
      </w:r>
    </w:p>
  </w:endnote>
  <w:endnote w:type="continuationSeparator" w:id="0">
    <w:p w14:paraId="3A734B22" w14:textId="77777777" w:rsidR="006B1192" w:rsidRDefault="006B1192" w:rsidP="00BE262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4FDA" w14:textId="77777777" w:rsidR="006B1192" w:rsidRDefault="006B1192" w:rsidP="00BE262E">
      <w:pPr>
        <w:spacing w:before="0"/>
      </w:pPr>
      <w:r>
        <w:separator/>
      </w:r>
    </w:p>
  </w:footnote>
  <w:footnote w:type="continuationSeparator" w:id="0">
    <w:p w14:paraId="3B188D3B" w14:textId="77777777" w:rsidR="006B1192" w:rsidRDefault="006B1192" w:rsidP="00BE262E">
      <w:pPr>
        <w:spacing w:before="0"/>
      </w:pPr>
      <w:r>
        <w:continuationSeparator/>
      </w:r>
    </w:p>
  </w:footnote>
  <w:footnote w:id="1">
    <w:p w14:paraId="23D20D91" w14:textId="47DCAFD6" w:rsidR="00852800" w:rsidRPr="005E69A8" w:rsidRDefault="00852800">
      <w:pPr>
        <w:pStyle w:val="FootnoteText"/>
      </w:pPr>
      <w:r w:rsidRPr="005E69A8">
        <w:rPr>
          <w:rStyle w:val="FootnoteReference"/>
        </w:rPr>
        <w:footnoteRef/>
      </w:r>
      <w:r w:rsidRPr="005E69A8">
        <w:t xml:space="preserve"> </w:t>
      </w:r>
      <w:r w:rsidRPr="005E69A8">
        <w:rPr>
          <w:rFonts w:eastAsia="Times" w:cs="Times New Roman"/>
        </w:rPr>
        <w:t>Quyết định số 5695/QĐ-UBND ngày 20 tháng 11 năm 2014 của Ủy ban nhân dân Thành phố Hồ Chí Minh Phê duyệt Đề án “Dạy và học các môn Toán, Khoa học và tiếng Anh tích hợp chương trình Anh và Việt Nam” tại các trường công lập trên địa bàn Thành phố Hồ Chí Minh.</w:t>
      </w:r>
    </w:p>
  </w:footnote>
  <w:footnote w:id="2">
    <w:p w14:paraId="11CDDBA0" w14:textId="3E8BC7B9" w:rsidR="00852800" w:rsidRPr="00852800" w:rsidRDefault="00852800">
      <w:pPr>
        <w:pStyle w:val="FootnoteText"/>
      </w:pPr>
      <w:r w:rsidRPr="005E69A8">
        <w:rPr>
          <w:rStyle w:val="FootnoteReference"/>
        </w:rPr>
        <w:footnoteRef/>
      </w:r>
      <w:r w:rsidRPr="005E69A8">
        <w:t xml:space="preserve"> </w:t>
      </w:r>
      <w:r w:rsidRPr="005E69A8">
        <w:rPr>
          <w:rFonts w:eastAsia="Times" w:cs="Times New Roman"/>
        </w:rPr>
        <w:t>Quyết định số 271/QĐ-SGDĐT ngày 10 tháng 2 năm 2023 của Sở GDĐT về ban hành Bộ chỉ số đánh giá mức độ chuyển đổi số của cơ sở giáo dục phổ thông và giáo dục thường xuyên.</w:t>
      </w:r>
    </w:p>
  </w:footnote>
  <w:footnote w:id="3">
    <w:p w14:paraId="4D9A85FF" w14:textId="5165C252" w:rsidR="005F650F" w:rsidRDefault="005F650F">
      <w:pPr>
        <w:pStyle w:val="FootnoteText"/>
      </w:pPr>
      <w:r>
        <w:rPr>
          <w:rStyle w:val="FootnoteReference"/>
        </w:rPr>
        <w:footnoteRef/>
      </w:r>
      <w:r>
        <w:t xml:space="preserve"> </w:t>
      </w:r>
      <w:r w:rsidRPr="005F650F">
        <w:rPr>
          <w:rFonts w:eastAsia="Times" w:cs="Times New Roman"/>
          <w:color w:val="000000"/>
        </w:rPr>
        <w:t>Văn bản số 5555/BGDĐT-GDTrH ngày 08 tháng 10 năm 2014 của Bộ GDĐT về hướng dẫn sinh hoạt chuyên môn về đổi mới phương pháp dạy học và kiểm tra, đánh giá; tổ chức và quản lí các hoạt động chuyên môn của trường trung học/trung tâm giáo dục thường xuyên qua mạng</w:t>
      </w:r>
    </w:p>
  </w:footnote>
  <w:footnote w:id="4">
    <w:p w14:paraId="31C53905" w14:textId="27094C05" w:rsidR="005F650F" w:rsidRPr="005F650F" w:rsidRDefault="005F650F">
      <w:pPr>
        <w:pStyle w:val="FootnoteText"/>
      </w:pPr>
      <w:r>
        <w:rPr>
          <w:rStyle w:val="FootnoteReference"/>
        </w:rPr>
        <w:footnoteRef/>
      </w:r>
      <w:r>
        <w:t xml:space="preserve"> </w:t>
      </w:r>
      <w:r w:rsidRPr="005F650F">
        <w:rPr>
          <w:rFonts w:eastAsia="Times" w:cs="Times New Roman"/>
          <w:color w:val="000000"/>
        </w:rPr>
        <w:t>Văn bản số 3089/BGDĐT-GDTrH ngày 14 tháng 8 năm 2020 của Bộ GDĐT hướng dẫn một số nội dung thực hiện giáo dục STEM và tổ chức, quản lý hoạt động giáo dục STEM trong trường trung học</w:t>
      </w:r>
    </w:p>
  </w:footnote>
  <w:footnote w:id="5">
    <w:p w14:paraId="260E999E" w14:textId="2C8C7E03" w:rsidR="005F650F" w:rsidRDefault="005F650F">
      <w:pPr>
        <w:pStyle w:val="FootnoteText"/>
      </w:pPr>
      <w:r>
        <w:rPr>
          <w:rStyle w:val="FootnoteReference"/>
        </w:rPr>
        <w:footnoteRef/>
      </w:r>
      <w:r>
        <w:t xml:space="preserve"> </w:t>
      </w:r>
      <w:r w:rsidRPr="005F650F">
        <w:rPr>
          <w:rFonts w:eastAsia="Times" w:cs="Times New Roman"/>
          <w:color w:val="000000"/>
        </w:rPr>
        <w:t>Văn bản số 3535/BGDĐT-GDTrH về việc hướng dẫn triển khai thực hiện phương pháp Bàn tay nặn bột và các phương pháp dạy học tích cực khác; Văn bản số 791/HD-BGDĐT về việc hướng dẫn thí điểm phát triển chương trình giáo dục nhà trường phổ thông; Văn bản số 5555/BGDĐT-GDTrH về việc hướng dẫn sinh hoạt chuyên môn về đổi mới phương pháp dạy học và kiểm tra đánh giá của Bộ GDĐT</w:t>
      </w:r>
    </w:p>
  </w:footnote>
  <w:footnote w:id="6">
    <w:p w14:paraId="7F91B704" w14:textId="02D73CE9" w:rsidR="005F650F" w:rsidRDefault="005F650F">
      <w:pPr>
        <w:pStyle w:val="FootnoteText"/>
      </w:pPr>
      <w:r>
        <w:rPr>
          <w:rStyle w:val="FootnoteReference"/>
        </w:rPr>
        <w:footnoteRef/>
      </w:r>
      <w:r>
        <w:t xml:space="preserve"> </w:t>
      </w:r>
      <w:r w:rsidRPr="005F650F">
        <w:rPr>
          <w:rFonts w:eastAsia="Times" w:cs="Times New Roman"/>
          <w:color w:val="000000"/>
        </w:rPr>
        <w:t>Quyết định số 762/QĐ-UBND ngày 08 tháng 3 năm 2021 của Ủy ban nhân dân thành phố Hồ Chí Minh về việc phê duyệt Đề án Nâng cao năng lực, kiến thức, kỹ năng ứng dụng Tin học cho học sinh phổ thông Thành phố Hồ Chí Minh theo định hướng chuẩn Quốc tế Giai đoạn 2021 – 2030</w:t>
      </w:r>
    </w:p>
  </w:footnote>
  <w:footnote w:id="7">
    <w:p w14:paraId="59677CE7" w14:textId="6E507893" w:rsidR="005F650F" w:rsidRDefault="005F650F">
      <w:pPr>
        <w:pStyle w:val="FootnoteText"/>
      </w:pPr>
      <w:r>
        <w:rPr>
          <w:rStyle w:val="FootnoteReference"/>
        </w:rPr>
        <w:footnoteRef/>
      </w:r>
      <w:r>
        <w:t xml:space="preserve"> </w:t>
      </w:r>
      <w:r w:rsidRPr="005F650F">
        <w:rPr>
          <w:rFonts w:eastAsia="Times" w:cs="Times New Roman"/>
          <w:color w:val="000000"/>
          <w:highlight w:val="white"/>
        </w:rPr>
        <w:t>Quyết định số 762/QĐ-UBND ngày 08 tháng 3 năm 2021 của Ủy ban nhân dân thành phố Hồ Chí Minh về việc phê duyệt Đề án N</w:t>
      </w:r>
      <w:r w:rsidRPr="005F650F">
        <w:rPr>
          <w:rFonts w:eastAsia="Times" w:cs="Times New Roman"/>
          <w:color w:val="000000"/>
        </w:rPr>
        <w:t>âng cao năng lực, kiến thức, kỹ năng ứng dụng Tin học cho học sinh phổ thông Thành phố Hồ Chí Minh theo định hướng chuẩn Quốc tế Giai đoạn 2021 - 2030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45239"/>
      <w:docPartObj>
        <w:docPartGallery w:val="Page Numbers (Top of Page)"/>
        <w:docPartUnique/>
      </w:docPartObj>
    </w:sdtPr>
    <w:sdtEndPr>
      <w:rPr>
        <w:noProof/>
      </w:rPr>
    </w:sdtEndPr>
    <w:sdtContent>
      <w:p w14:paraId="4F45ED10" w14:textId="61F5A6D7" w:rsidR="005E69A8" w:rsidRDefault="005E69A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635D4E1" w14:textId="0EEABD5F" w:rsidR="00BE262E" w:rsidRDefault="00BE262E" w:rsidP="00BE262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2E"/>
    <w:rsid w:val="00004E38"/>
    <w:rsid w:val="00035892"/>
    <w:rsid w:val="00094574"/>
    <w:rsid w:val="000C170E"/>
    <w:rsid w:val="000F3C9E"/>
    <w:rsid w:val="00146861"/>
    <w:rsid w:val="001A299B"/>
    <w:rsid w:val="001C6011"/>
    <w:rsid w:val="00211C25"/>
    <w:rsid w:val="002144DB"/>
    <w:rsid w:val="00242BCE"/>
    <w:rsid w:val="00271D5B"/>
    <w:rsid w:val="002B12BF"/>
    <w:rsid w:val="002E339E"/>
    <w:rsid w:val="0030287B"/>
    <w:rsid w:val="00303691"/>
    <w:rsid w:val="0032551A"/>
    <w:rsid w:val="003437F4"/>
    <w:rsid w:val="00376086"/>
    <w:rsid w:val="00384FAC"/>
    <w:rsid w:val="003A7BCD"/>
    <w:rsid w:val="004326DE"/>
    <w:rsid w:val="00462823"/>
    <w:rsid w:val="004778E6"/>
    <w:rsid w:val="00490902"/>
    <w:rsid w:val="004B0FCC"/>
    <w:rsid w:val="004B188E"/>
    <w:rsid w:val="004F1D65"/>
    <w:rsid w:val="005254DF"/>
    <w:rsid w:val="00556A89"/>
    <w:rsid w:val="00566C42"/>
    <w:rsid w:val="005E69A8"/>
    <w:rsid w:val="005F1148"/>
    <w:rsid w:val="005F650F"/>
    <w:rsid w:val="005F66FF"/>
    <w:rsid w:val="00600A98"/>
    <w:rsid w:val="00697BE2"/>
    <w:rsid w:val="006B1192"/>
    <w:rsid w:val="006F5844"/>
    <w:rsid w:val="00706BAD"/>
    <w:rsid w:val="0071194E"/>
    <w:rsid w:val="00716EE5"/>
    <w:rsid w:val="0080180D"/>
    <w:rsid w:val="00851760"/>
    <w:rsid w:val="00852800"/>
    <w:rsid w:val="008920FD"/>
    <w:rsid w:val="008973D3"/>
    <w:rsid w:val="00951A87"/>
    <w:rsid w:val="00975BD9"/>
    <w:rsid w:val="009802A4"/>
    <w:rsid w:val="009E79BB"/>
    <w:rsid w:val="00A2316D"/>
    <w:rsid w:val="00A448DF"/>
    <w:rsid w:val="00A63686"/>
    <w:rsid w:val="00A76869"/>
    <w:rsid w:val="00A97A54"/>
    <w:rsid w:val="00AB1CC2"/>
    <w:rsid w:val="00B11129"/>
    <w:rsid w:val="00B61440"/>
    <w:rsid w:val="00BB4951"/>
    <w:rsid w:val="00BE262E"/>
    <w:rsid w:val="00BF3CB7"/>
    <w:rsid w:val="00C34FB4"/>
    <w:rsid w:val="00C40F00"/>
    <w:rsid w:val="00C53EA2"/>
    <w:rsid w:val="00D01872"/>
    <w:rsid w:val="00D21CE5"/>
    <w:rsid w:val="00D35C25"/>
    <w:rsid w:val="00DB3F79"/>
    <w:rsid w:val="00DB7FB4"/>
    <w:rsid w:val="00E37406"/>
    <w:rsid w:val="00E421D9"/>
    <w:rsid w:val="00E91B85"/>
    <w:rsid w:val="00EB661F"/>
    <w:rsid w:val="00EC7DD5"/>
    <w:rsid w:val="00F113AC"/>
    <w:rsid w:val="00F15E91"/>
    <w:rsid w:val="00F2246C"/>
    <w:rsid w:val="00F23D75"/>
    <w:rsid w:val="00F44445"/>
    <w:rsid w:val="00F50B78"/>
    <w:rsid w:val="00F728C1"/>
    <w:rsid w:val="00F87D10"/>
    <w:rsid w:val="00FB1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8970"/>
  <w15:chartTrackingRefBased/>
  <w15:docId w15:val="{4BFEC4D9-E3EE-4807-A393-5A05E2B0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1760"/>
    <w:pPr>
      <w:spacing w:before="100" w:beforeAutospacing="1" w:after="100" w:afterAutospacing="1"/>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262E"/>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262E"/>
    <w:pPr>
      <w:tabs>
        <w:tab w:val="center" w:pos="4680"/>
        <w:tab w:val="right" w:pos="9360"/>
      </w:tabs>
      <w:spacing w:before="0"/>
    </w:pPr>
  </w:style>
  <w:style w:type="character" w:customStyle="1" w:styleId="HeaderChar">
    <w:name w:val="Header Char"/>
    <w:basedOn w:val="DefaultParagraphFont"/>
    <w:link w:val="Header"/>
    <w:uiPriority w:val="99"/>
    <w:rsid w:val="00BE262E"/>
  </w:style>
  <w:style w:type="paragraph" w:styleId="Footer">
    <w:name w:val="footer"/>
    <w:basedOn w:val="Normal"/>
    <w:link w:val="FooterChar"/>
    <w:uiPriority w:val="99"/>
    <w:unhideWhenUsed/>
    <w:rsid w:val="00BE262E"/>
    <w:pPr>
      <w:tabs>
        <w:tab w:val="center" w:pos="4680"/>
        <w:tab w:val="right" w:pos="9360"/>
      </w:tabs>
      <w:spacing w:before="0"/>
    </w:pPr>
  </w:style>
  <w:style w:type="character" w:customStyle="1" w:styleId="FooterChar">
    <w:name w:val="Footer Char"/>
    <w:basedOn w:val="DefaultParagraphFont"/>
    <w:link w:val="Footer"/>
    <w:uiPriority w:val="99"/>
    <w:rsid w:val="00BE262E"/>
  </w:style>
  <w:style w:type="paragraph" w:styleId="FootnoteText">
    <w:name w:val="footnote text"/>
    <w:basedOn w:val="Normal"/>
    <w:link w:val="FootnoteTextChar"/>
    <w:uiPriority w:val="99"/>
    <w:semiHidden/>
    <w:unhideWhenUsed/>
    <w:rsid w:val="00C34FB4"/>
    <w:pPr>
      <w:spacing w:before="0"/>
    </w:pPr>
    <w:rPr>
      <w:sz w:val="20"/>
      <w:szCs w:val="20"/>
    </w:rPr>
  </w:style>
  <w:style w:type="character" w:customStyle="1" w:styleId="FootnoteTextChar">
    <w:name w:val="Footnote Text Char"/>
    <w:basedOn w:val="DefaultParagraphFont"/>
    <w:link w:val="FootnoteText"/>
    <w:uiPriority w:val="99"/>
    <w:semiHidden/>
    <w:rsid w:val="00C34FB4"/>
    <w:rPr>
      <w:sz w:val="20"/>
      <w:szCs w:val="20"/>
    </w:rPr>
  </w:style>
  <w:style w:type="character" w:styleId="FootnoteReference">
    <w:name w:val="footnote reference"/>
    <w:basedOn w:val="DefaultParagraphFont"/>
    <w:uiPriority w:val="99"/>
    <w:semiHidden/>
    <w:unhideWhenUsed/>
    <w:rsid w:val="00C34FB4"/>
    <w:rPr>
      <w:vertAlign w:val="superscript"/>
    </w:rPr>
  </w:style>
  <w:style w:type="character" w:customStyle="1" w:styleId="Heading1Char">
    <w:name w:val="Heading 1 Char"/>
    <w:basedOn w:val="DefaultParagraphFont"/>
    <w:link w:val="Heading1"/>
    <w:uiPriority w:val="9"/>
    <w:rsid w:val="00851760"/>
    <w:rPr>
      <w:rFonts w:eastAsia="Times New Roman" w:cs="Times New Roman"/>
      <w:b/>
      <w:bCs/>
      <w:kern w:val="36"/>
      <w:sz w:val="48"/>
      <w:szCs w:val="48"/>
    </w:rPr>
  </w:style>
  <w:style w:type="character" w:styleId="Hyperlink">
    <w:name w:val="Hyperlink"/>
    <w:basedOn w:val="DefaultParagraphFont"/>
    <w:uiPriority w:val="99"/>
    <w:semiHidden/>
    <w:unhideWhenUsed/>
    <w:rsid w:val="00851760"/>
    <w:rPr>
      <w:color w:val="0000FF"/>
      <w:u w:val="single"/>
    </w:rPr>
  </w:style>
  <w:style w:type="paragraph" w:customStyle="1" w:styleId="CharCharCharChar">
    <w:name w:val="Char Char Char Char"/>
    <w:basedOn w:val="Normal"/>
    <w:rsid w:val="002144DB"/>
    <w:pPr>
      <w:spacing w:before="0" w:after="160" w:line="240" w:lineRule="exact"/>
      <w:jc w:val="lef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0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336B-B597-44C1-AE57-FCA4208F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1827</Words>
  <Characters>10417</Characters>
  <Application>Microsoft Office Word</Application>
  <DocSecurity>0</DocSecurity>
  <Lines>86</Lines>
  <Paragraphs>24</Paragraphs>
  <ScaleCrop>false</ScaleCrop>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Quy</dc:creator>
  <cp:keywords/>
  <dc:description/>
  <cp:lastModifiedBy>Nguyễn Như Quỳnh Anh</cp:lastModifiedBy>
  <cp:revision>22</cp:revision>
  <cp:lastPrinted>2023-07-10T09:32:00Z</cp:lastPrinted>
  <dcterms:created xsi:type="dcterms:W3CDTF">2023-07-10T09:47:00Z</dcterms:created>
  <dcterms:modified xsi:type="dcterms:W3CDTF">2023-07-20T03:40:00Z</dcterms:modified>
</cp:coreProperties>
</file>